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44" w:rsidRPr="009318EF" w:rsidRDefault="00556BD2" w:rsidP="00B973F1">
      <w:pPr>
        <w:rPr>
          <w:rFonts w:ascii="Times New Roman" w:hAnsi="Times New Roman"/>
          <w:b/>
          <w:sz w:val="32"/>
          <w:szCs w:val="32"/>
        </w:rPr>
      </w:pPr>
      <w:r w:rsidRPr="009318EF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CHÍNH SÁCH, ƯU ĐÃI </w:t>
      </w:r>
    </w:p>
    <w:tbl>
      <w:tblPr>
        <w:tblStyle w:val="TableGrid"/>
        <w:tblW w:w="142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1794"/>
        <w:gridCol w:w="4326"/>
        <w:gridCol w:w="2250"/>
        <w:gridCol w:w="5220"/>
      </w:tblGrid>
      <w:tr w:rsidR="009318EF" w:rsidRPr="00556BD2" w:rsidTr="009318EF">
        <w:trPr>
          <w:trHeight w:val="617"/>
        </w:trPr>
        <w:tc>
          <w:tcPr>
            <w:tcW w:w="630" w:type="dxa"/>
          </w:tcPr>
          <w:p w:rsidR="006D55C0" w:rsidRPr="00556BD2" w:rsidRDefault="00556BD2" w:rsidP="009318EF">
            <w:pPr>
              <w:jc w:val="center"/>
              <w:rPr>
                <w:rFonts w:ascii="Times New Roman" w:hAnsi="Times New Roman"/>
                <w:b/>
              </w:rPr>
            </w:pPr>
            <w:r w:rsidRPr="00556BD2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794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6BD2">
              <w:rPr>
                <w:rFonts w:ascii="Times New Roman" w:hAnsi="Times New Roman"/>
                <w:b/>
              </w:rPr>
              <w:t>Số</w:t>
            </w:r>
            <w:proofErr w:type="spellEnd"/>
            <w:r w:rsidRPr="00556BD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b/>
              </w:rPr>
              <w:t>hiệu</w:t>
            </w:r>
            <w:proofErr w:type="spellEnd"/>
          </w:p>
        </w:tc>
        <w:tc>
          <w:tcPr>
            <w:tcW w:w="4326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6BD2">
              <w:rPr>
                <w:rFonts w:ascii="Times New Roman" w:hAnsi="Times New Roman"/>
                <w:b/>
                <w:shd w:val="clear" w:color="auto" w:fill="FFFFFF"/>
              </w:rPr>
              <w:t>Trích</w:t>
            </w:r>
            <w:proofErr w:type="spellEnd"/>
            <w:r w:rsidRPr="00556BD2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b/>
                <w:shd w:val="clear" w:color="auto" w:fill="FFFFFF"/>
              </w:rPr>
              <w:t>yếu</w:t>
            </w:r>
            <w:proofErr w:type="spellEnd"/>
          </w:p>
        </w:tc>
        <w:tc>
          <w:tcPr>
            <w:tcW w:w="2250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6BD2">
              <w:rPr>
                <w:rFonts w:ascii="Times New Roman" w:hAnsi="Times New Roman"/>
                <w:b/>
                <w:shd w:val="clear" w:color="auto" w:fill="FFFFFF"/>
              </w:rPr>
              <w:t>Ngày</w:t>
            </w:r>
            <w:proofErr w:type="spellEnd"/>
            <w:r w:rsidRPr="00556BD2">
              <w:rPr>
                <w:rFonts w:ascii="Times New Roman" w:hAnsi="Times New Roman"/>
                <w:b/>
                <w:shd w:val="clear" w:color="auto" w:fill="FFFFFF"/>
              </w:rPr>
              <w:t xml:space="preserve"> ban </w:t>
            </w:r>
            <w:proofErr w:type="spellStart"/>
            <w:r w:rsidRPr="00556BD2">
              <w:rPr>
                <w:rFonts w:ascii="Times New Roman" w:hAnsi="Times New Roman"/>
                <w:b/>
                <w:shd w:val="clear" w:color="auto" w:fill="FFFFFF"/>
              </w:rPr>
              <w:t>hành</w:t>
            </w:r>
            <w:proofErr w:type="spellEnd"/>
          </w:p>
        </w:tc>
        <w:tc>
          <w:tcPr>
            <w:tcW w:w="5220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  <w:b/>
              </w:rPr>
            </w:pPr>
            <w:r w:rsidRPr="00556BD2">
              <w:rPr>
                <w:rFonts w:ascii="Times New Roman" w:hAnsi="Times New Roman"/>
                <w:b/>
              </w:rPr>
              <w:t xml:space="preserve">Link </w:t>
            </w:r>
            <w:proofErr w:type="spellStart"/>
            <w:r w:rsidRPr="00556BD2">
              <w:rPr>
                <w:rFonts w:ascii="Times New Roman" w:hAnsi="Times New Roman"/>
                <w:b/>
              </w:rPr>
              <w:t>văn</w:t>
            </w:r>
            <w:proofErr w:type="spellEnd"/>
            <w:r w:rsidRPr="00556BD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b/>
              </w:rPr>
              <w:t>bản</w:t>
            </w:r>
            <w:proofErr w:type="spellEnd"/>
          </w:p>
        </w:tc>
      </w:tr>
      <w:tr w:rsidR="009318EF" w:rsidRPr="00556BD2" w:rsidTr="009318EF">
        <w:trPr>
          <w:trHeight w:val="617"/>
        </w:trPr>
        <w:tc>
          <w:tcPr>
            <w:tcW w:w="630" w:type="dxa"/>
          </w:tcPr>
          <w:p w:rsidR="006D55C0" w:rsidRPr="00556BD2" w:rsidRDefault="006D55C0" w:rsidP="009318EF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1</w:t>
            </w:r>
          </w:p>
        </w:tc>
        <w:tc>
          <w:tcPr>
            <w:tcW w:w="1794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  <w:shd w:val="clear" w:color="auto" w:fill="FFFFFF"/>
              </w:rPr>
              <w:t>11/2022/QĐ-UBND</w:t>
            </w:r>
          </w:p>
        </w:tc>
        <w:tc>
          <w:tcPr>
            <w:tcW w:w="4326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  <w:shd w:val="clear" w:color="auto" w:fill="FFFFFF"/>
              </w:rPr>
              <w:t xml:space="preserve">Ban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hành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Quy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chế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quản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lý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kinh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phí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phát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triển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nghiệp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hỗ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trợ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quy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định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mức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chi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cụ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thể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các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hoạt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động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phát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triển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nghiệp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hỗ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trợ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trên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địa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bàn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tỉnh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Quảng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Ngãi</w:t>
            </w:r>
            <w:proofErr w:type="spellEnd"/>
          </w:p>
        </w:tc>
        <w:tc>
          <w:tcPr>
            <w:tcW w:w="2250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  <w:shd w:val="clear" w:color="auto" w:fill="FFFFFF"/>
              </w:rPr>
              <w:t>14/03/2022</w:t>
            </w:r>
          </w:p>
        </w:tc>
        <w:tc>
          <w:tcPr>
            <w:tcW w:w="5220" w:type="dxa"/>
          </w:tcPr>
          <w:p w:rsidR="006D55C0" w:rsidRPr="009318EF" w:rsidRDefault="00DE6B96" w:rsidP="000674E0">
            <w:pPr>
              <w:rPr>
                <w:rFonts w:ascii="Times New Roman" w:hAnsi="Times New Roman"/>
                <w:color w:val="auto"/>
              </w:rPr>
            </w:pPr>
            <w:hyperlink r:id="rId6" w:history="1">
              <w:r w:rsidR="006D55C0" w:rsidRPr="009318E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https://vanban.quangngai.gov.vn/thongtin/vanban/detail?id=132401</w:t>
              </w:r>
            </w:hyperlink>
          </w:p>
          <w:p w:rsidR="006D55C0" w:rsidRPr="00556BD2" w:rsidRDefault="006D55C0" w:rsidP="00B973F1">
            <w:pPr>
              <w:rPr>
                <w:rFonts w:ascii="Times New Roman" w:hAnsi="Times New Roman"/>
              </w:rPr>
            </w:pPr>
          </w:p>
        </w:tc>
      </w:tr>
      <w:tr w:rsidR="009318EF" w:rsidRPr="00556BD2" w:rsidTr="009318EF">
        <w:trPr>
          <w:trHeight w:val="617"/>
        </w:trPr>
        <w:tc>
          <w:tcPr>
            <w:tcW w:w="630" w:type="dxa"/>
          </w:tcPr>
          <w:p w:rsidR="006D55C0" w:rsidRPr="00556BD2" w:rsidRDefault="006D55C0" w:rsidP="009318EF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2</w:t>
            </w:r>
          </w:p>
        </w:tc>
        <w:tc>
          <w:tcPr>
            <w:tcW w:w="1794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  <w:shd w:val="clear" w:color="auto" w:fill="FFFFFF"/>
              </w:rPr>
              <w:t>14/2022/QĐ-UBND</w:t>
            </w:r>
          </w:p>
        </w:tc>
        <w:tc>
          <w:tcPr>
            <w:tcW w:w="4326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Quy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định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đơn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giá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cho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thuê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kết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cấu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hạ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tầng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tại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Khu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nghiệp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Quảng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Phú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Khu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nghiệp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Tịnh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Phong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giai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  <w:shd w:val="clear" w:color="auto" w:fill="FFFFFF"/>
              </w:rPr>
              <w:t>đoạn</w:t>
            </w:r>
            <w:proofErr w:type="spellEnd"/>
            <w:r w:rsidRPr="00556BD2">
              <w:rPr>
                <w:rFonts w:ascii="Times New Roman" w:hAnsi="Times New Roman"/>
                <w:shd w:val="clear" w:color="auto" w:fill="FFFFFF"/>
              </w:rPr>
              <w:t xml:space="preserve"> 2022-2026</w:t>
            </w:r>
          </w:p>
        </w:tc>
        <w:tc>
          <w:tcPr>
            <w:tcW w:w="2250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  <w:shd w:val="clear" w:color="auto" w:fill="FFFFFF"/>
              </w:rPr>
              <w:t>26/04/2022</w:t>
            </w:r>
          </w:p>
        </w:tc>
        <w:tc>
          <w:tcPr>
            <w:tcW w:w="5220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https://vanban.quangngai.gov.vn/thongtin/vanban/detail?id=133784</w:t>
            </w:r>
          </w:p>
        </w:tc>
      </w:tr>
      <w:tr w:rsidR="009318EF" w:rsidRPr="00556BD2" w:rsidTr="009318EF">
        <w:trPr>
          <w:trHeight w:val="617"/>
        </w:trPr>
        <w:tc>
          <w:tcPr>
            <w:tcW w:w="630" w:type="dxa"/>
          </w:tcPr>
          <w:p w:rsidR="009318EF" w:rsidRPr="00556BD2" w:rsidRDefault="00DE6B96" w:rsidP="0093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4" w:type="dxa"/>
          </w:tcPr>
          <w:p w:rsidR="009318EF" w:rsidRPr="00556BD2" w:rsidRDefault="009318EF" w:rsidP="00B973F1">
            <w:pPr>
              <w:rPr>
                <w:rFonts w:ascii="Times New Roman" w:hAnsi="Times New Roman"/>
              </w:rPr>
            </w:pPr>
            <w:r w:rsidRPr="009318EF">
              <w:rPr>
                <w:rFonts w:ascii="Times New Roman" w:hAnsi="Times New Roman"/>
              </w:rPr>
              <w:t>31/2014/Q</w:t>
            </w:r>
            <w:r w:rsidRPr="009318EF">
              <w:rPr>
                <w:rFonts w:ascii="Times New Roman" w:hAnsi="Times New Roman" w:hint="eastAsia"/>
              </w:rPr>
              <w:t>Đ</w:t>
            </w:r>
            <w:r w:rsidRPr="009318EF">
              <w:rPr>
                <w:rFonts w:ascii="Times New Roman" w:hAnsi="Times New Roman"/>
              </w:rPr>
              <w:t>-UBND</w:t>
            </w:r>
          </w:p>
        </w:tc>
        <w:tc>
          <w:tcPr>
            <w:tcW w:w="4326" w:type="dxa"/>
          </w:tcPr>
          <w:p w:rsidR="009318EF" w:rsidRPr="00556BD2" w:rsidRDefault="009318EF" w:rsidP="00B973F1">
            <w:pPr>
              <w:rPr>
                <w:rFonts w:ascii="Times New Roman" w:hAnsi="Times New Roman"/>
              </w:rPr>
            </w:pPr>
            <w:r w:rsidRPr="009318EF">
              <w:rPr>
                <w:rFonts w:ascii="Times New Roman" w:hAnsi="Times New Roman"/>
              </w:rPr>
              <w:t xml:space="preserve">Ban </w:t>
            </w:r>
            <w:proofErr w:type="spellStart"/>
            <w:r w:rsidRPr="009318EF">
              <w:rPr>
                <w:rFonts w:ascii="Times New Roman" w:hAnsi="Times New Roman"/>
              </w:rPr>
              <w:t>h</w:t>
            </w:r>
            <w:r w:rsidRPr="009318EF">
              <w:rPr>
                <w:rFonts w:ascii="Times New Roman" w:hAnsi="Times New Roman" w:hint="eastAsia"/>
              </w:rPr>
              <w:t>à</w:t>
            </w:r>
            <w:r w:rsidRPr="009318EF">
              <w:rPr>
                <w:rFonts w:ascii="Times New Roman" w:hAnsi="Times New Roman"/>
              </w:rPr>
              <w:t>nh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Quy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 w:hint="eastAsia"/>
              </w:rPr>
              <w:t>đ</w:t>
            </w:r>
            <w:r w:rsidRPr="009318EF">
              <w:rPr>
                <w:rFonts w:ascii="Times New Roman" w:hAnsi="Times New Roman"/>
              </w:rPr>
              <w:t>ịnh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ch</w:t>
            </w:r>
            <w:r w:rsidRPr="009318EF">
              <w:rPr>
                <w:rFonts w:ascii="Times New Roman" w:hAnsi="Times New Roman" w:hint="eastAsia"/>
              </w:rPr>
              <w:t>í</w:t>
            </w:r>
            <w:r w:rsidRPr="009318EF">
              <w:rPr>
                <w:rFonts w:ascii="Times New Roman" w:hAnsi="Times New Roman"/>
              </w:rPr>
              <w:t>nh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s</w:t>
            </w:r>
            <w:r w:rsidRPr="009318EF">
              <w:rPr>
                <w:rFonts w:ascii="Times New Roman" w:hAnsi="Times New Roman" w:hint="eastAsia"/>
              </w:rPr>
              <w:t>á</w:t>
            </w:r>
            <w:r w:rsidRPr="009318EF">
              <w:rPr>
                <w:rFonts w:ascii="Times New Roman" w:hAnsi="Times New Roman"/>
              </w:rPr>
              <w:t>ch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hỗ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trợ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khuyến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kh</w:t>
            </w:r>
            <w:r w:rsidRPr="009318EF">
              <w:rPr>
                <w:rFonts w:ascii="Times New Roman" w:hAnsi="Times New Roman" w:hint="eastAsia"/>
              </w:rPr>
              <w:t>í</w:t>
            </w:r>
            <w:r w:rsidRPr="009318EF">
              <w:rPr>
                <w:rFonts w:ascii="Times New Roman" w:hAnsi="Times New Roman"/>
              </w:rPr>
              <w:t>ch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ph</w:t>
            </w:r>
            <w:r w:rsidRPr="009318EF">
              <w:rPr>
                <w:rFonts w:ascii="Times New Roman" w:hAnsi="Times New Roman" w:hint="eastAsia"/>
              </w:rPr>
              <w:t>á</w:t>
            </w:r>
            <w:r w:rsidRPr="009318EF">
              <w:rPr>
                <w:rFonts w:ascii="Times New Roman" w:hAnsi="Times New Roman"/>
              </w:rPr>
              <w:t>t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triển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Hợp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t</w:t>
            </w:r>
            <w:r w:rsidRPr="009318EF">
              <w:rPr>
                <w:rFonts w:ascii="Times New Roman" w:hAnsi="Times New Roman" w:hint="eastAsia"/>
              </w:rPr>
              <w:t>á</w:t>
            </w:r>
            <w:r w:rsidRPr="009318EF">
              <w:rPr>
                <w:rFonts w:ascii="Times New Roman" w:hAnsi="Times New Roman"/>
              </w:rPr>
              <w:t>c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x</w:t>
            </w:r>
            <w:r w:rsidRPr="009318EF">
              <w:rPr>
                <w:rFonts w:ascii="Times New Roman" w:hAnsi="Times New Roman" w:hint="eastAsia"/>
              </w:rPr>
              <w:t>ã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tr</w:t>
            </w:r>
            <w:r w:rsidRPr="009318EF">
              <w:rPr>
                <w:rFonts w:ascii="Times New Roman" w:hAnsi="Times New Roman" w:hint="eastAsia"/>
              </w:rPr>
              <w:t>ê</w:t>
            </w:r>
            <w:r w:rsidRPr="009318EF">
              <w:rPr>
                <w:rFonts w:ascii="Times New Roman" w:hAnsi="Times New Roman"/>
              </w:rPr>
              <w:t>n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 w:hint="eastAsia"/>
              </w:rPr>
              <w:t>đ</w:t>
            </w:r>
            <w:r w:rsidRPr="009318EF">
              <w:rPr>
                <w:rFonts w:ascii="Times New Roman" w:hAnsi="Times New Roman"/>
              </w:rPr>
              <w:t>ịa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b</w:t>
            </w:r>
            <w:r w:rsidRPr="009318EF">
              <w:rPr>
                <w:rFonts w:ascii="Times New Roman" w:hAnsi="Times New Roman" w:hint="eastAsia"/>
              </w:rPr>
              <w:t>à</w:t>
            </w:r>
            <w:r w:rsidRPr="009318EF">
              <w:rPr>
                <w:rFonts w:ascii="Times New Roman" w:hAnsi="Times New Roman"/>
              </w:rPr>
              <w:t>n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tỉnh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Quảng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/>
              </w:rPr>
              <w:t>Ng</w:t>
            </w:r>
            <w:r w:rsidRPr="009318EF">
              <w:rPr>
                <w:rFonts w:ascii="Times New Roman" w:hAnsi="Times New Roman" w:hint="eastAsia"/>
              </w:rPr>
              <w:t>ã</w:t>
            </w:r>
            <w:r w:rsidRPr="009318EF">
              <w:rPr>
                <w:rFonts w:ascii="Times New Roman" w:hAnsi="Times New Roman"/>
              </w:rPr>
              <w:t>i</w:t>
            </w:r>
            <w:proofErr w:type="spellEnd"/>
            <w:r w:rsidRPr="009318EF">
              <w:rPr>
                <w:rFonts w:ascii="Times New Roman" w:hAnsi="Times New Roman"/>
              </w:rPr>
              <w:t xml:space="preserve">, </w:t>
            </w:r>
            <w:proofErr w:type="spellStart"/>
            <w:r w:rsidRPr="009318EF">
              <w:rPr>
                <w:rFonts w:ascii="Times New Roman" w:hAnsi="Times New Roman"/>
              </w:rPr>
              <w:t>giai</w:t>
            </w:r>
            <w:proofErr w:type="spellEnd"/>
            <w:r w:rsidRPr="009318EF">
              <w:rPr>
                <w:rFonts w:ascii="Times New Roman" w:hAnsi="Times New Roman"/>
              </w:rPr>
              <w:t xml:space="preserve"> </w:t>
            </w:r>
            <w:proofErr w:type="spellStart"/>
            <w:r w:rsidRPr="009318EF">
              <w:rPr>
                <w:rFonts w:ascii="Times New Roman" w:hAnsi="Times New Roman" w:hint="eastAsia"/>
              </w:rPr>
              <w:t>đ</w:t>
            </w:r>
            <w:r w:rsidRPr="009318EF">
              <w:rPr>
                <w:rFonts w:ascii="Times New Roman" w:hAnsi="Times New Roman"/>
              </w:rPr>
              <w:t>oạn</w:t>
            </w:r>
            <w:proofErr w:type="spellEnd"/>
            <w:r w:rsidRPr="009318EF">
              <w:rPr>
                <w:rFonts w:ascii="Times New Roman" w:hAnsi="Times New Roman"/>
              </w:rPr>
              <w:t xml:space="preserve"> 2014-2020</w:t>
            </w:r>
          </w:p>
        </w:tc>
        <w:tc>
          <w:tcPr>
            <w:tcW w:w="2250" w:type="dxa"/>
          </w:tcPr>
          <w:p w:rsidR="009318EF" w:rsidRPr="00556BD2" w:rsidRDefault="009318EF" w:rsidP="00556BD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318EF">
              <w:rPr>
                <w:rFonts w:ascii="Times New Roman" w:hAnsi="Times New Roman"/>
                <w:shd w:val="clear" w:color="auto" w:fill="FFFFFF"/>
              </w:rPr>
              <w:t>24/06/2014</w:t>
            </w:r>
          </w:p>
        </w:tc>
        <w:tc>
          <w:tcPr>
            <w:tcW w:w="5220" w:type="dxa"/>
          </w:tcPr>
          <w:p w:rsidR="009318EF" w:rsidRPr="00556BD2" w:rsidRDefault="009318EF" w:rsidP="00B973F1">
            <w:pPr>
              <w:rPr>
                <w:rFonts w:ascii="Times New Roman" w:hAnsi="Times New Roman"/>
              </w:rPr>
            </w:pPr>
            <w:r w:rsidRPr="009318EF">
              <w:rPr>
                <w:rFonts w:ascii="Times New Roman" w:hAnsi="Times New Roman"/>
              </w:rPr>
              <w:t>https://vanban.quangngai.gov.vn/thongtin/vanban/detail?id=39090</w:t>
            </w:r>
          </w:p>
        </w:tc>
      </w:tr>
      <w:tr w:rsidR="009318EF" w:rsidRPr="00556BD2" w:rsidTr="009318EF">
        <w:trPr>
          <w:trHeight w:val="617"/>
        </w:trPr>
        <w:tc>
          <w:tcPr>
            <w:tcW w:w="630" w:type="dxa"/>
          </w:tcPr>
          <w:p w:rsidR="006D55C0" w:rsidRPr="00556BD2" w:rsidRDefault="00DE6B96" w:rsidP="0093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4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23/2022/NQ-HĐND</w:t>
            </w:r>
          </w:p>
        </w:tc>
        <w:tc>
          <w:tcPr>
            <w:tcW w:w="4326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proofErr w:type="spellStart"/>
            <w:r w:rsidRPr="00556BD2">
              <w:rPr>
                <w:rFonts w:ascii="Times New Roman" w:hAnsi="Times New Roman"/>
              </w:rPr>
              <w:t>Nghị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quyết</w:t>
            </w:r>
            <w:proofErr w:type="spellEnd"/>
            <w:r w:rsidRPr="00556BD2">
              <w:rPr>
                <w:rFonts w:ascii="Times New Roman" w:hAnsi="Times New Roman"/>
              </w:rPr>
              <w:t xml:space="preserve"> Ban </w:t>
            </w:r>
            <w:proofErr w:type="spellStart"/>
            <w:r w:rsidRPr="00556BD2">
              <w:rPr>
                <w:rFonts w:ascii="Times New Roman" w:hAnsi="Times New Roman"/>
              </w:rPr>
              <w:t>hành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mức</w:t>
            </w:r>
            <w:proofErr w:type="spellEnd"/>
            <w:r w:rsidRPr="00556BD2">
              <w:rPr>
                <w:rFonts w:ascii="Times New Roman" w:hAnsi="Times New Roman"/>
              </w:rPr>
              <w:t xml:space="preserve"> chi </w:t>
            </w:r>
            <w:proofErr w:type="spellStart"/>
            <w:r w:rsidRPr="00556BD2">
              <w:rPr>
                <w:rFonts w:ascii="Times New Roman" w:hAnsi="Times New Roman"/>
              </w:rPr>
              <w:t>thực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hiện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Chương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trình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quốc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gia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hỗ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trợ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doanh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nghiệp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nâng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cao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năng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suất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sản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phẩm</w:t>
            </w:r>
            <w:proofErr w:type="spellEnd"/>
            <w:r w:rsidRPr="00556BD2">
              <w:rPr>
                <w:rFonts w:ascii="Times New Roman" w:hAnsi="Times New Roman"/>
              </w:rPr>
              <w:t xml:space="preserve">, </w:t>
            </w:r>
            <w:proofErr w:type="spellStart"/>
            <w:r w:rsidRPr="00556BD2">
              <w:rPr>
                <w:rFonts w:ascii="Times New Roman" w:hAnsi="Times New Roman"/>
              </w:rPr>
              <w:t>hàng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hóa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giai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đoạn</w:t>
            </w:r>
            <w:proofErr w:type="spellEnd"/>
            <w:r w:rsidRPr="00556BD2">
              <w:rPr>
                <w:rFonts w:ascii="Times New Roman" w:hAnsi="Times New Roman"/>
              </w:rPr>
              <w:t xml:space="preserve"> 2021 - 2030 </w:t>
            </w:r>
            <w:proofErr w:type="spellStart"/>
            <w:r w:rsidRPr="00556BD2">
              <w:rPr>
                <w:rFonts w:ascii="Times New Roman" w:hAnsi="Times New Roman"/>
              </w:rPr>
              <w:t>trên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bàn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tỉnh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Quảng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Ngãi</w:t>
            </w:r>
            <w:proofErr w:type="spellEnd"/>
          </w:p>
        </w:tc>
        <w:tc>
          <w:tcPr>
            <w:tcW w:w="2250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30/9/2022</w:t>
            </w:r>
          </w:p>
        </w:tc>
        <w:tc>
          <w:tcPr>
            <w:tcW w:w="5220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https://dbnd.quangngai.gov.vn/items/doc/2234.pdf</w:t>
            </w:r>
          </w:p>
        </w:tc>
      </w:tr>
      <w:tr w:rsidR="009318EF" w:rsidRPr="00556BD2" w:rsidTr="009318EF">
        <w:trPr>
          <w:trHeight w:val="584"/>
        </w:trPr>
        <w:tc>
          <w:tcPr>
            <w:tcW w:w="630" w:type="dxa"/>
          </w:tcPr>
          <w:p w:rsidR="006D55C0" w:rsidRPr="00556BD2" w:rsidRDefault="00DE6B96" w:rsidP="0093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94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14/2022/NQ-HĐND</w:t>
            </w:r>
          </w:p>
        </w:tc>
        <w:tc>
          <w:tcPr>
            <w:tcW w:w="4326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proofErr w:type="spellStart"/>
            <w:r w:rsidRPr="00556BD2">
              <w:rPr>
                <w:rFonts w:ascii="Times New Roman" w:hAnsi="Times New Roman"/>
              </w:rPr>
              <w:t>Quy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nội</w:t>
            </w:r>
            <w:proofErr w:type="spellEnd"/>
            <w:r w:rsidRPr="00556BD2">
              <w:rPr>
                <w:rFonts w:ascii="Times New Roman" w:hAnsi="Times New Roman"/>
              </w:rPr>
              <w:t xml:space="preserve"> dung </w:t>
            </w:r>
            <w:proofErr w:type="spellStart"/>
            <w:r w:rsidRPr="00556BD2">
              <w:rPr>
                <w:rFonts w:ascii="Times New Roman" w:hAnsi="Times New Roman"/>
              </w:rPr>
              <w:t>và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mức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hỗ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trợ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kinh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phí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thực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hiện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các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hoạt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động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phát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triển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thị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trường</w:t>
            </w:r>
            <w:proofErr w:type="spellEnd"/>
            <w:r w:rsidRPr="00556BD2">
              <w:rPr>
                <w:rFonts w:ascii="Times New Roman" w:hAnsi="Times New Roman"/>
              </w:rPr>
              <w:t xml:space="preserve">, </w:t>
            </w:r>
            <w:proofErr w:type="spellStart"/>
            <w:r w:rsidRPr="00556BD2">
              <w:rPr>
                <w:rFonts w:ascii="Times New Roman" w:hAnsi="Times New Roman"/>
              </w:rPr>
              <w:t>xây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dựng</w:t>
            </w:r>
            <w:proofErr w:type="spellEnd"/>
            <w:r w:rsidRPr="00556BD2">
              <w:rPr>
                <w:rFonts w:ascii="Times New Roman" w:hAnsi="Times New Roman"/>
              </w:rPr>
              <w:t xml:space="preserve">, </w:t>
            </w:r>
            <w:proofErr w:type="spellStart"/>
            <w:r w:rsidRPr="00556BD2">
              <w:rPr>
                <w:rFonts w:ascii="Times New Roman" w:hAnsi="Times New Roman"/>
              </w:rPr>
              <w:t>quảng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bá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thương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hiệu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sản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phẩm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phát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triển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ngoại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thương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của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tỉnh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Quảng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Ngãi</w:t>
            </w:r>
            <w:proofErr w:type="spellEnd"/>
          </w:p>
        </w:tc>
        <w:tc>
          <w:tcPr>
            <w:tcW w:w="2250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07/7/2022</w:t>
            </w:r>
          </w:p>
        </w:tc>
        <w:tc>
          <w:tcPr>
            <w:tcW w:w="5220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https://dbnd.quangngai.gov.vn/items/doc/2034.pdf</w:t>
            </w:r>
          </w:p>
        </w:tc>
      </w:tr>
      <w:tr w:rsidR="009318EF" w:rsidRPr="00556BD2" w:rsidTr="009318EF">
        <w:trPr>
          <w:trHeight w:val="617"/>
        </w:trPr>
        <w:tc>
          <w:tcPr>
            <w:tcW w:w="630" w:type="dxa"/>
          </w:tcPr>
          <w:p w:rsidR="006D55C0" w:rsidRPr="00556BD2" w:rsidRDefault="00DE6B96" w:rsidP="0093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94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25/2021/NQ-HĐND</w:t>
            </w:r>
          </w:p>
        </w:tc>
        <w:tc>
          <w:tcPr>
            <w:tcW w:w="4326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proofErr w:type="spellStart"/>
            <w:r w:rsidRPr="00556BD2">
              <w:rPr>
                <w:rFonts w:ascii="Times New Roman" w:hAnsi="Times New Roman"/>
              </w:rPr>
              <w:t>Nghị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quyết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một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số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chính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sách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hỗ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trợ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chuyển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giao</w:t>
            </w:r>
            <w:proofErr w:type="spellEnd"/>
            <w:r w:rsidRPr="00556BD2">
              <w:rPr>
                <w:rFonts w:ascii="Times New Roman" w:hAnsi="Times New Roman"/>
              </w:rPr>
              <w:t xml:space="preserve">, </w:t>
            </w:r>
            <w:proofErr w:type="spellStart"/>
            <w:r w:rsidRPr="00556BD2">
              <w:rPr>
                <w:rFonts w:ascii="Times New Roman" w:hAnsi="Times New Roman"/>
              </w:rPr>
              <w:t>đổi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mới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công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nghệ</w:t>
            </w:r>
            <w:proofErr w:type="spellEnd"/>
            <w:r w:rsidRPr="00556BD2">
              <w:rPr>
                <w:rFonts w:ascii="Times New Roman" w:hAnsi="Times New Roman"/>
              </w:rPr>
              <w:t xml:space="preserve">, </w:t>
            </w:r>
            <w:proofErr w:type="spellStart"/>
            <w:r w:rsidRPr="00556BD2">
              <w:rPr>
                <w:rFonts w:ascii="Times New Roman" w:hAnsi="Times New Roman"/>
              </w:rPr>
              <w:t>phát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triển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thị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trường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khoa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học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và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công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nghệ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trên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bàn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tỉnh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Quảng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Ngãi</w:t>
            </w:r>
            <w:proofErr w:type="spellEnd"/>
          </w:p>
        </w:tc>
        <w:tc>
          <w:tcPr>
            <w:tcW w:w="2250" w:type="dxa"/>
          </w:tcPr>
          <w:p w:rsidR="006D55C0" w:rsidRPr="00556BD2" w:rsidRDefault="006D55C0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15/10/2021</w:t>
            </w:r>
          </w:p>
        </w:tc>
        <w:tc>
          <w:tcPr>
            <w:tcW w:w="5220" w:type="dxa"/>
          </w:tcPr>
          <w:p w:rsidR="006D55C0" w:rsidRPr="00556BD2" w:rsidRDefault="006D55C0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https://dbnd.quangngai.gov.vn/items/doc/1474.pdf</w:t>
            </w:r>
          </w:p>
        </w:tc>
      </w:tr>
      <w:tr w:rsidR="00556BD2" w:rsidRPr="00556BD2" w:rsidTr="009318EF">
        <w:trPr>
          <w:trHeight w:val="650"/>
        </w:trPr>
        <w:tc>
          <w:tcPr>
            <w:tcW w:w="630" w:type="dxa"/>
          </w:tcPr>
          <w:p w:rsidR="00556BD2" w:rsidRPr="00556BD2" w:rsidRDefault="00DE6B96" w:rsidP="0093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94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10/2015/NQ-HĐND</w:t>
            </w:r>
          </w:p>
        </w:tc>
        <w:tc>
          <w:tcPr>
            <w:tcW w:w="4326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  <w:proofErr w:type="spellStart"/>
            <w:r w:rsidRPr="00556BD2">
              <w:rPr>
                <w:rFonts w:ascii="Times New Roman" w:hAnsi="Times New Roman"/>
              </w:rPr>
              <w:t>Quy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chính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sách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hỗ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trợ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đặc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thù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khuyến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khích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doanh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nghiệp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và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hợp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tác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xã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đầu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tư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vào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nông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nghiệp</w:t>
            </w:r>
            <w:proofErr w:type="spellEnd"/>
            <w:r w:rsidRPr="00556BD2">
              <w:rPr>
                <w:rFonts w:ascii="Times New Roman" w:hAnsi="Times New Roman"/>
              </w:rPr>
              <w:t xml:space="preserve">, </w:t>
            </w:r>
            <w:proofErr w:type="spellStart"/>
            <w:r w:rsidRPr="00556BD2">
              <w:rPr>
                <w:rFonts w:ascii="Times New Roman" w:hAnsi="Times New Roman"/>
              </w:rPr>
              <w:t>nông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thôn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trên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bàn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tỉnh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Quảng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Ngãi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giai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đoạn</w:t>
            </w:r>
            <w:proofErr w:type="spellEnd"/>
            <w:r w:rsidRPr="00556BD2">
              <w:rPr>
                <w:rFonts w:ascii="Times New Roman" w:hAnsi="Times New Roman"/>
              </w:rPr>
              <w:t xml:space="preserve"> 2015-2020</w:t>
            </w:r>
          </w:p>
        </w:tc>
        <w:tc>
          <w:tcPr>
            <w:tcW w:w="2250" w:type="dxa"/>
          </w:tcPr>
          <w:p w:rsidR="00556BD2" w:rsidRPr="00556BD2" w:rsidRDefault="00556BD2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20/7/2015</w:t>
            </w:r>
          </w:p>
        </w:tc>
        <w:tc>
          <w:tcPr>
            <w:tcW w:w="5220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556BD2" w:rsidRPr="00556BD2" w:rsidTr="009318EF">
        <w:trPr>
          <w:trHeight w:val="650"/>
        </w:trPr>
        <w:tc>
          <w:tcPr>
            <w:tcW w:w="630" w:type="dxa"/>
          </w:tcPr>
          <w:p w:rsidR="00556BD2" w:rsidRPr="00556BD2" w:rsidRDefault="00DE6B96" w:rsidP="0093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94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16/2014/NQ-HĐND</w:t>
            </w:r>
          </w:p>
        </w:tc>
        <w:tc>
          <w:tcPr>
            <w:tcW w:w="4326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  <w:proofErr w:type="spellStart"/>
            <w:r w:rsidRPr="00556BD2">
              <w:rPr>
                <w:rFonts w:ascii="Times New Roman" w:hAnsi="Times New Roman"/>
              </w:rPr>
              <w:t>Quy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cơ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chế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hỗ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trợ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đầu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tư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xây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dựng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các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công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trình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của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dự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án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đầu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tư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trong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Khu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hoạch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đô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thị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mới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Vạn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Tường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thuộc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Khu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kinh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tế</w:t>
            </w:r>
            <w:proofErr w:type="spellEnd"/>
            <w:r w:rsidRPr="00556BD2">
              <w:rPr>
                <w:rFonts w:ascii="Times New Roman" w:hAnsi="Times New Roman"/>
              </w:rPr>
              <w:t xml:space="preserve"> Dung </w:t>
            </w:r>
            <w:proofErr w:type="spellStart"/>
            <w:r w:rsidRPr="00556BD2">
              <w:rPr>
                <w:rFonts w:ascii="Times New Roman" w:hAnsi="Times New Roman"/>
              </w:rPr>
              <w:t>Quất</w:t>
            </w:r>
            <w:proofErr w:type="spellEnd"/>
            <w:r w:rsidRPr="00556BD2">
              <w:rPr>
                <w:rFonts w:ascii="Times New Roman" w:hAnsi="Times New Roman"/>
              </w:rPr>
              <w:t xml:space="preserve">, </w:t>
            </w:r>
            <w:proofErr w:type="spellStart"/>
            <w:r w:rsidRPr="00556BD2">
              <w:rPr>
                <w:rFonts w:ascii="Times New Roman" w:hAnsi="Times New Roman"/>
              </w:rPr>
              <w:t>tỉnh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Quảng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Ngãi</w:t>
            </w:r>
            <w:proofErr w:type="spellEnd"/>
          </w:p>
        </w:tc>
        <w:tc>
          <w:tcPr>
            <w:tcW w:w="2250" w:type="dxa"/>
          </w:tcPr>
          <w:p w:rsidR="00556BD2" w:rsidRPr="00556BD2" w:rsidRDefault="00556BD2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31/7/2014</w:t>
            </w:r>
          </w:p>
        </w:tc>
        <w:tc>
          <w:tcPr>
            <w:tcW w:w="5220" w:type="dxa"/>
          </w:tcPr>
          <w:p w:rsidR="00556BD2" w:rsidRPr="00556BD2" w:rsidRDefault="00DE6B96" w:rsidP="00B973F1">
            <w:pPr>
              <w:rPr>
                <w:rFonts w:ascii="Times New Roman" w:hAnsi="Times New Roman"/>
              </w:rPr>
            </w:pPr>
            <w:r w:rsidRPr="00DE6B96">
              <w:rPr>
                <w:rFonts w:ascii="Times New Roman" w:hAnsi="Times New Roman"/>
              </w:rPr>
              <w:t>https://dbnd.quangngai.gov.vn/items/doc/247.pdf</w:t>
            </w:r>
          </w:p>
        </w:tc>
      </w:tr>
      <w:tr w:rsidR="00556BD2" w:rsidRPr="00556BD2" w:rsidTr="009318EF">
        <w:trPr>
          <w:trHeight w:val="650"/>
        </w:trPr>
        <w:tc>
          <w:tcPr>
            <w:tcW w:w="630" w:type="dxa"/>
          </w:tcPr>
          <w:p w:rsidR="00556BD2" w:rsidRPr="00556BD2" w:rsidRDefault="00DE6B96" w:rsidP="0093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94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09/2013/NQ-HĐND</w:t>
            </w:r>
          </w:p>
        </w:tc>
        <w:tc>
          <w:tcPr>
            <w:tcW w:w="4326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  <w:proofErr w:type="spellStart"/>
            <w:r w:rsidRPr="00556BD2">
              <w:rPr>
                <w:rFonts w:ascii="Times New Roman" w:hAnsi="Times New Roman"/>
              </w:rPr>
              <w:t>Quy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một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số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chính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sách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hỗ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trợ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đầu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tư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trên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địa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bàn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tỉnh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Quảng</w:t>
            </w:r>
            <w:proofErr w:type="spellEnd"/>
            <w:r w:rsidRPr="00556BD2">
              <w:rPr>
                <w:rFonts w:ascii="Times New Roman" w:hAnsi="Times New Roman"/>
              </w:rPr>
              <w:t xml:space="preserve"> </w:t>
            </w:r>
            <w:proofErr w:type="spellStart"/>
            <w:r w:rsidRPr="00556BD2">
              <w:rPr>
                <w:rFonts w:ascii="Times New Roman" w:hAnsi="Times New Roman"/>
              </w:rPr>
              <w:t>Ngãi</w:t>
            </w:r>
            <w:proofErr w:type="spellEnd"/>
          </w:p>
        </w:tc>
        <w:tc>
          <w:tcPr>
            <w:tcW w:w="2250" w:type="dxa"/>
          </w:tcPr>
          <w:p w:rsidR="00556BD2" w:rsidRPr="00556BD2" w:rsidRDefault="00556BD2" w:rsidP="00556BD2">
            <w:pPr>
              <w:jc w:val="center"/>
              <w:rPr>
                <w:rFonts w:ascii="Times New Roman" w:hAnsi="Times New Roman"/>
              </w:rPr>
            </w:pPr>
            <w:r w:rsidRPr="00556BD2">
              <w:rPr>
                <w:rFonts w:ascii="Times New Roman" w:hAnsi="Times New Roman"/>
              </w:rPr>
              <w:t>10/7/2013</w:t>
            </w:r>
          </w:p>
        </w:tc>
        <w:tc>
          <w:tcPr>
            <w:tcW w:w="5220" w:type="dxa"/>
          </w:tcPr>
          <w:p w:rsidR="00556BD2" w:rsidRPr="00556BD2" w:rsidRDefault="00556BD2" w:rsidP="00B973F1">
            <w:pPr>
              <w:rPr>
                <w:rFonts w:ascii="Times New Roman" w:hAnsi="Times New Roman"/>
              </w:rPr>
            </w:pPr>
          </w:p>
        </w:tc>
      </w:tr>
    </w:tbl>
    <w:p w:rsidR="000674E0" w:rsidRPr="00556BD2" w:rsidRDefault="000674E0" w:rsidP="00B973F1">
      <w:pPr>
        <w:rPr>
          <w:rFonts w:ascii="Times New Roman" w:hAnsi="Times New Roman"/>
        </w:rPr>
      </w:pPr>
    </w:p>
    <w:sectPr w:rsidR="000674E0" w:rsidRPr="00556BD2" w:rsidSect="000674E0">
      <w:pgSz w:w="15840" w:h="12240" w:orient="landscape"/>
      <w:pgMar w:top="1440" w:right="1440" w:bottom="1440" w:left="144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458"/>
    <w:multiLevelType w:val="hybridMultilevel"/>
    <w:tmpl w:val="8EAC07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848"/>
    <w:multiLevelType w:val="hybridMultilevel"/>
    <w:tmpl w:val="EFFE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5B18"/>
    <w:multiLevelType w:val="hybridMultilevel"/>
    <w:tmpl w:val="177C5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5677"/>
    <w:multiLevelType w:val="hybridMultilevel"/>
    <w:tmpl w:val="1046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F1"/>
    <w:rsid w:val="000674E0"/>
    <w:rsid w:val="00411744"/>
    <w:rsid w:val="004A6617"/>
    <w:rsid w:val="00556BD2"/>
    <w:rsid w:val="006D55C0"/>
    <w:rsid w:val="009318EF"/>
    <w:rsid w:val="00B973F1"/>
    <w:rsid w:val="00D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Theme="minorHAnsi" w:hAnsi="Roboto Condensed" w:cs="Times New Roman"/>
        <w:color w:val="000000"/>
        <w:kern w:val="36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4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74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Theme="minorHAnsi" w:hAnsi="Roboto Condensed" w:cs="Times New Roman"/>
        <w:color w:val="000000"/>
        <w:kern w:val="36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4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74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nban.quangngai.gov.vn/thongtin/vanban/detail?id=1324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2022-11-03T03:18:00Z</dcterms:created>
  <dcterms:modified xsi:type="dcterms:W3CDTF">2022-11-07T07:54:00Z</dcterms:modified>
</cp:coreProperties>
</file>